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62A17" w14:textId="0AEE0BF0" w:rsidR="00AA21F5" w:rsidRPr="00AA21F5" w:rsidRDefault="00AA21F5" w:rsidP="44CF93F5">
      <w:pPr>
        <w:rPr>
          <w:rFonts w:ascii="Calibri" w:eastAsia="Calibri" w:hAnsi="Calibri" w:cs="Calibri"/>
          <w:b/>
          <w:bCs/>
          <w:color w:val="156082" w:themeColor="accent1"/>
          <w:sz w:val="28"/>
          <w:szCs w:val="28"/>
        </w:rPr>
      </w:pPr>
      <w:r w:rsidRPr="00AA21F5">
        <w:rPr>
          <w:rFonts w:ascii="Calibri" w:eastAsia="Calibri" w:hAnsi="Calibri" w:cs="Calibri"/>
          <w:b/>
          <w:bCs/>
          <w:color w:val="156082" w:themeColor="accent1"/>
          <w:sz w:val="28"/>
          <w:szCs w:val="28"/>
        </w:rPr>
        <w:t>Background note for the keynote speech</w:t>
      </w:r>
      <w:r>
        <w:rPr>
          <w:rFonts w:ascii="Calibri" w:eastAsia="Calibri" w:hAnsi="Calibri" w:cs="Calibri"/>
          <w:b/>
          <w:bCs/>
          <w:color w:val="156082" w:themeColor="accent1"/>
          <w:sz w:val="28"/>
          <w:szCs w:val="28"/>
        </w:rPr>
        <w:t xml:space="preserve"> </w:t>
      </w:r>
    </w:p>
    <w:p w14:paraId="109F84EC" w14:textId="480D5923" w:rsidR="001A150D" w:rsidRDefault="001A150D" w:rsidP="44CF93F5">
      <w:pPr>
        <w:rPr>
          <w:rFonts w:ascii="Calibri" w:eastAsia="Calibri" w:hAnsi="Calibri" w:cs="Calibri"/>
        </w:rPr>
      </w:pPr>
      <w:r w:rsidRPr="001A150D">
        <w:rPr>
          <w:rFonts w:ascii="Calibri" w:eastAsia="Calibri" w:hAnsi="Calibri" w:cs="Calibri"/>
          <w:b/>
          <w:bCs/>
        </w:rPr>
        <w:t xml:space="preserve">Event Title: </w:t>
      </w:r>
      <w:r w:rsidRPr="001A150D">
        <w:rPr>
          <w:rFonts w:ascii="Calibri" w:eastAsia="Calibri" w:hAnsi="Calibri" w:cs="Calibri"/>
          <w:i/>
          <w:iCs/>
        </w:rPr>
        <w:t>Moving Futures: Migration, Labor, and the Health of a Changing Planet</w:t>
      </w:r>
      <w:r w:rsidRPr="001A150D">
        <w:rPr>
          <w:rFonts w:ascii="Calibri" w:eastAsia="Calibri" w:hAnsi="Calibri" w:cs="Calibri"/>
        </w:rPr>
        <w:br/>
      </w:r>
      <w:r w:rsidRPr="001A150D">
        <w:rPr>
          <w:rFonts w:ascii="Calibri" w:eastAsia="Calibri" w:hAnsi="Calibri" w:cs="Calibri"/>
          <w:b/>
          <w:bCs/>
        </w:rPr>
        <w:t xml:space="preserve">Speaker: </w:t>
      </w:r>
      <w:r w:rsidRPr="001A150D">
        <w:rPr>
          <w:rFonts w:ascii="Calibri" w:eastAsia="Calibri" w:hAnsi="Calibri" w:cs="Calibri"/>
        </w:rPr>
        <w:t xml:space="preserve">Dr. Santino </w:t>
      </w:r>
      <w:proofErr w:type="spellStart"/>
      <w:r w:rsidRPr="001A150D">
        <w:rPr>
          <w:rFonts w:ascii="Calibri" w:eastAsia="Calibri" w:hAnsi="Calibri" w:cs="Calibri"/>
        </w:rPr>
        <w:t>Severoni,</w:t>
      </w:r>
      <w:proofErr w:type="spellEnd"/>
      <w:r w:rsidRPr="001A150D">
        <w:rPr>
          <w:rFonts w:ascii="Calibri" w:eastAsia="Calibri" w:hAnsi="Calibri" w:cs="Calibri"/>
        </w:rPr>
        <w:t xml:space="preserve"> Health and Migration, World Health Organization</w:t>
      </w:r>
    </w:p>
    <w:p w14:paraId="46A479A5" w14:textId="52AEA291" w:rsidR="00F644DB" w:rsidRDefault="32F8BE1E" w:rsidP="44CF93F5">
      <w:r w:rsidRPr="44CF93F5">
        <w:rPr>
          <w:rFonts w:ascii="Calibri" w:eastAsia="Calibri" w:hAnsi="Calibri" w:cs="Calibri"/>
          <w:b/>
          <w:bCs/>
        </w:rPr>
        <w:t>Occupational Health Landscape for Migrant Workers</w:t>
      </w:r>
    </w:p>
    <w:p w14:paraId="3A06148F" w14:textId="0A82DC3E" w:rsidR="00AA21F5" w:rsidRDefault="32F8BE1E" w:rsidP="44CF93F5">
      <w:pPr>
        <w:rPr>
          <w:rFonts w:ascii="Calibri" w:eastAsia="Calibri" w:hAnsi="Calibri" w:cs="Calibri"/>
        </w:rPr>
      </w:pPr>
      <w:r w:rsidRPr="7C926B4B">
        <w:rPr>
          <w:rFonts w:ascii="Calibri" w:eastAsia="Calibri" w:hAnsi="Calibri" w:cs="Calibri"/>
        </w:rPr>
        <w:t xml:space="preserve">According to the </w:t>
      </w:r>
      <w:hyperlink r:id="rId10">
        <w:r w:rsidRPr="7C926B4B">
          <w:rPr>
            <w:rStyle w:val="Hyperlink"/>
            <w:rFonts w:ascii="Calibri" w:eastAsia="Calibri" w:hAnsi="Calibri" w:cs="Calibri"/>
            <w:b/>
            <w:bCs/>
            <w:i/>
            <w:iCs/>
          </w:rPr>
          <w:t>WHO World Report on the Health of Refugees and Migrants</w:t>
        </w:r>
        <w:r w:rsidRPr="7C926B4B">
          <w:rPr>
            <w:rStyle w:val="Hyperlink"/>
            <w:rFonts w:ascii="Calibri" w:eastAsia="Calibri" w:hAnsi="Calibri" w:cs="Calibri"/>
            <w:b/>
            <w:bCs/>
          </w:rPr>
          <w:t xml:space="preserve"> (2022)</w:t>
        </w:r>
      </w:hyperlink>
      <w:r w:rsidRPr="7C926B4B">
        <w:rPr>
          <w:rFonts w:ascii="Calibri" w:eastAsia="Calibri" w:hAnsi="Calibri" w:cs="Calibri"/>
          <w:b/>
          <w:bCs/>
        </w:rPr>
        <w:t>,</w:t>
      </w:r>
      <w:r w:rsidRPr="7C926B4B">
        <w:rPr>
          <w:rFonts w:ascii="Calibri" w:eastAsia="Calibri" w:hAnsi="Calibri" w:cs="Calibri"/>
        </w:rPr>
        <w:t xml:space="preserve"> </w:t>
      </w:r>
      <w:r w:rsidR="001A150D" w:rsidRPr="7C926B4B">
        <w:rPr>
          <w:rFonts w:ascii="Calibri" w:eastAsia="Calibri" w:hAnsi="Calibri" w:cs="Calibri"/>
        </w:rPr>
        <w:t>migrant workers are disproportionately employed in hazardous “3D jobs”—dirty, dangerous, and demanding—often outside formal occupational safety systems. Data across WHO regions show male migrant workers face higher risks of injury in physically demanding sectors, while female migrants face elevated exploitation and care burdens.</w:t>
      </w:r>
      <w:r w:rsidR="00AA21F5" w:rsidRPr="7C926B4B">
        <w:rPr>
          <w:rFonts w:ascii="Calibri" w:eastAsia="Calibri" w:hAnsi="Calibri" w:cs="Calibri"/>
        </w:rPr>
        <w:t xml:space="preserve"> </w:t>
      </w:r>
    </w:p>
    <w:p w14:paraId="1E8D8139" w14:textId="203ED500" w:rsidR="32F8BE1E" w:rsidRDefault="32F8BE1E" w:rsidP="7C926B4B">
      <w:pPr>
        <w:rPr>
          <w:rFonts w:ascii="Calibri" w:eastAsia="Calibri" w:hAnsi="Calibri" w:cs="Calibri"/>
        </w:rPr>
      </w:pPr>
      <w:r w:rsidRPr="7C926B4B">
        <w:rPr>
          <w:rFonts w:ascii="Calibri" w:eastAsia="Calibri" w:hAnsi="Calibri" w:cs="Calibri"/>
        </w:rPr>
        <w:t>Despite elevated health risks, migrant workers consistently face systemic and structural barriers to accessing occupational health and other essential services</w:t>
      </w:r>
      <w:r w:rsidR="54C0AF3F" w:rsidRPr="7C926B4B">
        <w:rPr>
          <w:rFonts w:ascii="Calibri" w:eastAsia="Calibri" w:hAnsi="Calibri" w:cs="Calibri"/>
        </w:rPr>
        <w:t xml:space="preserve">. Health insurance is often non-portable and tied to a single employer or legal status, while access to social protection remains limited—especially for irregular, seasonal, and low-skilled migrants. </w:t>
      </w:r>
    </w:p>
    <w:p w14:paraId="3B99490F" w14:textId="76F12576" w:rsidR="32F8BE1E" w:rsidRDefault="32F8BE1E" w:rsidP="7C926B4B">
      <w:pPr>
        <w:rPr>
          <w:rFonts w:ascii="Calibri" w:eastAsia="Calibri" w:hAnsi="Calibri" w:cs="Calibri"/>
        </w:rPr>
      </w:pPr>
      <w:r w:rsidRPr="7C926B4B">
        <w:rPr>
          <w:rFonts w:ascii="Calibri" w:eastAsia="Calibri" w:hAnsi="Calibri" w:cs="Calibri"/>
        </w:rPr>
        <w:t xml:space="preserve">Available evidence confirms that migrants often work in informal sectors, which typically fall outside the scope of occupational health laws. </w:t>
      </w:r>
    </w:p>
    <w:p w14:paraId="483879C2" w14:textId="02AED32F" w:rsidR="00F644DB" w:rsidRDefault="32F8BE1E" w:rsidP="7C926B4B">
      <w:pPr>
        <w:rPr>
          <w:rFonts w:ascii="Calibri" w:eastAsia="Calibri" w:hAnsi="Calibri" w:cs="Calibri"/>
          <w:b/>
          <w:bCs/>
        </w:rPr>
      </w:pPr>
      <w:r w:rsidRPr="7C926B4B">
        <w:rPr>
          <w:rFonts w:ascii="Calibri" w:eastAsia="Calibri" w:hAnsi="Calibri" w:cs="Calibri"/>
          <w:b/>
          <w:bCs/>
        </w:rPr>
        <w:t>WHO Commitments</w:t>
      </w:r>
    </w:p>
    <w:p w14:paraId="38C706FB" w14:textId="635F0C54" w:rsidR="54A15FAE" w:rsidRDefault="32F8BE1E" w:rsidP="7C926B4B">
      <w:pPr>
        <w:spacing w:before="240" w:after="240"/>
        <w:rPr>
          <w:rFonts w:ascii="Calibri" w:eastAsia="Calibri" w:hAnsi="Calibri" w:cs="Calibri"/>
        </w:rPr>
      </w:pPr>
      <w:r w:rsidRPr="7C926B4B">
        <w:rPr>
          <w:rFonts w:ascii="Calibri" w:eastAsia="Calibri" w:hAnsi="Calibri" w:cs="Calibri"/>
        </w:rPr>
        <w:t xml:space="preserve">WHO’s work in the area of health and migration is guided by the </w:t>
      </w:r>
      <w:hyperlink r:id="rId11">
        <w:r w:rsidRPr="7C926B4B">
          <w:rPr>
            <w:rStyle w:val="Hyperlink"/>
            <w:rFonts w:ascii="Calibri" w:eastAsia="Calibri" w:hAnsi="Calibri" w:cs="Calibri"/>
            <w:b/>
            <w:bCs/>
            <w:i/>
            <w:iCs/>
          </w:rPr>
          <w:t>Global Action Plan on Promoting the Health of Refugees and Migrants (2019–2030)</w:t>
        </w:r>
        <w:r w:rsidR="569E1808" w:rsidRPr="7C926B4B">
          <w:rPr>
            <w:rStyle w:val="Hyperlink"/>
            <w:rFonts w:ascii="Calibri" w:eastAsia="Calibri" w:hAnsi="Calibri" w:cs="Calibri"/>
            <w:b/>
            <w:bCs/>
            <w:i/>
            <w:iCs/>
          </w:rPr>
          <w:t>.</w:t>
        </w:r>
      </w:hyperlink>
      <w:r w:rsidR="569E1808" w:rsidRPr="7C926B4B">
        <w:rPr>
          <w:rFonts w:ascii="Calibri" w:eastAsia="Calibri" w:hAnsi="Calibri" w:cs="Calibri"/>
        </w:rPr>
        <w:t xml:space="preserve"> </w:t>
      </w:r>
      <w:r w:rsidR="728FBF7E" w:rsidRPr="7C926B4B">
        <w:rPr>
          <w:rFonts w:ascii="Calibri" w:eastAsia="Calibri" w:hAnsi="Calibri" w:cs="Calibri"/>
        </w:rPr>
        <w:t xml:space="preserve">Under Priority Area 2, the Global Action Plan focuses on preventing occupational and work-related diseases and injuries among refugee and migrant workers and their families. </w:t>
      </w:r>
      <w:r w:rsidRPr="7C926B4B">
        <w:rPr>
          <w:rFonts w:ascii="Calibri" w:eastAsia="Calibri" w:hAnsi="Calibri" w:cs="Calibri"/>
        </w:rPr>
        <w:t>To support implementation of the Global Action Plan, WHO has developed a monitoring framework through a consultative process</w:t>
      </w:r>
      <w:r w:rsidR="5E2DD50B" w:rsidRPr="7C926B4B">
        <w:rPr>
          <w:rFonts w:ascii="Calibri" w:eastAsia="Calibri" w:hAnsi="Calibri" w:cs="Calibri"/>
        </w:rPr>
        <w:t xml:space="preserve">. </w:t>
      </w:r>
      <w:r w:rsidRPr="7C926B4B">
        <w:rPr>
          <w:rFonts w:ascii="Calibri" w:eastAsia="Calibri" w:hAnsi="Calibri" w:cs="Calibri"/>
        </w:rPr>
        <w:t>A global survey conducted between November 2024 and February 2025 gathered responses from 93 countries.</w:t>
      </w:r>
      <w:r w:rsidR="75841857" w:rsidRPr="7C926B4B">
        <w:rPr>
          <w:rFonts w:ascii="Calibri" w:eastAsia="Calibri" w:hAnsi="Calibri" w:cs="Calibri"/>
        </w:rPr>
        <w:t xml:space="preserve"> </w:t>
      </w:r>
      <w:r w:rsidRPr="7C926B4B">
        <w:rPr>
          <w:rFonts w:ascii="Calibri" w:eastAsia="Calibri" w:hAnsi="Calibri" w:cs="Calibri"/>
        </w:rPr>
        <w:t xml:space="preserve">One key question in the survey focused on whether refugees and migrants are included in national occupational health and safety legislation, policies, or strategies. </w:t>
      </w:r>
    </w:p>
    <w:p w14:paraId="0B7AD615" w14:textId="008DF80B" w:rsidR="54A15FAE" w:rsidRDefault="32F8BE1E" w:rsidP="7C926B4B">
      <w:pPr>
        <w:spacing w:before="240" w:after="240"/>
        <w:rPr>
          <w:rFonts w:ascii="Calibri" w:eastAsia="Calibri" w:hAnsi="Calibri" w:cs="Calibri"/>
        </w:rPr>
      </w:pPr>
      <w:r w:rsidRPr="7C926B4B">
        <w:rPr>
          <w:rFonts w:ascii="Calibri" w:eastAsia="Calibri" w:hAnsi="Calibri" w:cs="Calibri"/>
        </w:rPr>
        <w:t xml:space="preserve">Additionally, the </w:t>
      </w:r>
      <w:hyperlink r:id="rId12">
        <w:r w:rsidRPr="7C926B4B">
          <w:rPr>
            <w:rStyle w:val="Hyperlink"/>
            <w:rFonts w:ascii="Calibri" w:eastAsia="Calibri" w:hAnsi="Calibri" w:cs="Calibri"/>
            <w:b/>
            <w:bCs/>
            <w:i/>
            <w:iCs/>
          </w:rPr>
          <w:t>Global Research Agenda on Health, Migration and Displacement (2023)</w:t>
        </w:r>
      </w:hyperlink>
      <w:r w:rsidRPr="7C926B4B">
        <w:rPr>
          <w:rFonts w:ascii="Calibri" w:eastAsia="Calibri" w:hAnsi="Calibri" w:cs="Calibri"/>
        </w:rPr>
        <w:t xml:space="preserve"> identifies seasonal migrant workers as a critically underserved subgroup. </w:t>
      </w:r>
    </w:p>
    <w:p w14:paraId="37D9FA0A" w14:textId="144E09B5" w:rsidR="7047BB3C" w:rsidRDefault="7047BB3C" w:rsidP="54A15FAE">
      <w:pPr>
        <w:rPr>
          <w:rFonts w:ascii="Calibri" w:eastAsia="Calibri" w:hAnsi="Calibri" w:cs="Calibri"/>
          <w:b/>
          <w:bCs/>
        </w:rPr>
      </w:pPr>
      <w:r w:rsidRPr="7C926B4B">
        <w:rPr>
          <w:rFonts w:ascii="Calibri" w:eastAsia="Calibri" w:hAnsi="Calibri" w:cs="Calibri"/>
          <w:b/>
          <w:bCs/>
        </w:rPr>
        <w:t>Promising Practices</w:t>
      </w:r>
    </w:p>
    <w:p w14:paraId="2D855B54" w14:textId="15BA0EEB" w:rsidR="001A150D" w:rsidRPr="001A150D" w:rsidRDefault="001A150D" w:rsidP="54A15FAE">
      <w:pPr>
        <w:rPr>
          <w:rFonts w:ascii="Calibri" w:eastAsia="Calibri" w:hAnsi="Calibri" w:cs="Calibri"/>
        </w:rPr>
      </w:pPr>
      <w:r w:rsidRPr="7C926B4B">
        <w:rPr>
          <w:rFonts w:ascii="Calibri" w:eastAsia="Calibri" w:hAnsi="Calibri" w:cs="Calibri"/>
        </w:rPr>
        <w:t>Promoting the health of migrant workers requires not only policy reform but also scalable models of implementation. WHO supports the identification and dissemination of such practices through dedicated knowledge-sharing platforms and capacity-building efforts.</w:t>
      </w:r>
    </w:p>
    <w:p w14:paraId="426A5BE2" w14:textId="7A3EFF46" w:rsidR="7047BB3C" w:rsidRDefault="7047BB3C" w:rsidP="7C926B4B">
      <w:pPr>
        <w:rPr>
          <w:rFonts w:ascii="Calibri" w:eastAsia="Calibri" w:hAnsi="Calibri" w:cs="Calibri"/>
        </w:rPr>
      </w:pPr>
      <w:r w:rsidRPr="1AC1BD51">
        <w:rPr>
          <w:rFonts w:ascii="Calibri" w:eastAsia="Calibri" w:hAnsi="Calibri" w:cs="Calibri"/>
        </w:rPr>
        <w:lastRenderedPageBreak/>
        <w:t>A positive example of institutional innovation in promoting migrant workers’ health can be found in the Philippines, which has established bilateral migrant health protocols alongside a comprehensive system of pre-departure medical and legal orientation for outbound workers.</w:t>
      </w:r>
      <w:r w:rsidR="4F22F7A1" w:rsidRPr="1AC1BD51">
        <w:rPr>
          <w:rFonts w:ascii="Calibri" w:eastAsia="Calibri" w:hAnsi="Calibri" w:cs="Calibri"/>
        </w:rPr>
        <w:t xml:space="preserve"> </w:t>
      </w:r>
      <w:r w:rsidRPr="1AC1BD51">
        <w:rPr>
          <w:rFonts w:ascii="Calibri" w:eastAsia="Calibri" w:hAnsi="Calibri" w:cs="Calibri"/>
        </w:rPr>
        <w:t xml:space="preserve">These practices have been documented in a </w:t>
      </w:r>
      <w:hyperlink r:id="rId13">
        <w:r w:rsidRPr="1AC1BD51">
          <w:rPr>
            <w:rStyle w:val="Hyperlink"/>
            <w:rFonts w:ascii="Calibri" w:eastAsia="Calibri" w:hAnsi="Calibri" w:cs="Calibri"/>
          </w:rPr>
          <w:t>video reportage</w:t>
        </w:r>
      </w:hyperlink>
      <w:r w:rsidRPr="1AC1BD51">
        <w:rPr>
          <w:rFonts w:ascii="Calibri" w:eastAsia="Calibri" w:hAnsi="Calibri" w:cs="Calibri"/>
        </w:rPr>
        <w:t xml:space="preserve"> for the fourth WHO </w:t>
      </w:r>
      <w:r w:rsidRPr="1AC1BD51">
        <w:rPr>
          <w:rFonts w:ascii="Calibri" w:eastAsia="Calibri" w:hAnsi="Calibri" w:cs="Calibri"/>
          <w:b/>
          <w:bCs/>
          <w:i/>
          <w:iCs/>
        </w:rPr>
        <w:t>Global School on Refugee and Migrant Health</w:t>
      </w:r>
      <w:r w:rsidRPr="1AC1BD51">
        <w:rPr>
          <w:rFonts w:ascii="Calibri" w:eastAsia="Calibri" w:hAnsi="Calibri" w:cs="Calibri"/>
        </w:rPr>
        <w:t>.</w:t>
      </w:r>
    </w:p>
    <w:p w14:paraId="42F8ADF6" w14:textId="319FCA9F" w:rsidR="54A15FAE" w:rsidRDefault="00AA21F5" w:rsidP="00AA21F5">
      <w:pPr>
        <w:rPr>
          <w:rFonts w:ascii="Calibri" w:eastAsia="Calibri" w:hAnsi="Calibri" w:cs="Calibri"/>
        </w:rPr>
      </w:pPr>
      <w:r w:rsidRPr="1AC1BD51">
        <w:rPr>
          <w:rFonts w:ascii="Calibri" w:eastAsia="Calibri" w:hAnsi="Calibri" w:cs="Calibri"/>
        </w:rPr>
        <w:t xml:space="preserve">In addition, </w:t>
      </w:r>
      <w:hyperlink r:id="rId14">
        <w:r w:rsidRPr="1AC1BD51">
          <w:rPr>
            <w:rStyle w:val="Hyperlink"/>
            <w:rFonts w:ascii="Calibri" w:eastAsia="Calibri" w:hAnsi="Calibri" w:cs="Calibri"/>
            <w:b/>
            <w:bCs/>
            <w:i/>
            <w:iCs/>
          </w:rPr>
          <w:t>WHO’s Global Dashboard on Refugee and Migrant Health</w:t>
        </w:r>
      </w:hyperlink>
      <w:r w:rsidRPr="1AC1BD51">
        <w:rPr>
          <w:rFonts w:ascii="Calibri" w:eastAsia="Calibri" w:hAnsi="Calibri" w:cs="Calibri"/>
        </w:rPr>
        <w:t xml:space="preserve"> offers a broader lens on promising practices worldwide. The Dashboard compiles 140 case studies from 63 Member States, gathered between 2022 and 2023</w:t>
      </w:r>
      <w:r w:rsidR="272090DC" w:rsidRPr="1AC1BD51">
        <w:rPr>
          <w:rFonts w:ascii="Calibri" w:eastAsia="Calibri" w:hAnsi="Calibri" w:cs="Calibri"/>
        </w:rPr>
        <w:t xml:space="preserve">, with concrete examples for migrant </w:t>
      </w:r>
      <w:proofErr w:type="spellStart"/>
      <w:r w:rsidR="272090DC" w:rsidRPr="1AC1BD51">
        <w:rPr>
          <w:rFonts w:ascii="Calibri" w:eastAsia="Calibri" w:hAnsi="Calibri" w:cs="Calibri"/>
        </w:rPr>
        <w:t>labourers</w:t>
      </w:r>
      <w:proofErr w:type="spellEnd"/>
      <w:r w:rsidR="272090DC" w:rsidRPr="1AC1BD51">
        <w:rPr>
          <w:rFonts w:ascii="Calibri" w:eastAsia="Calibri" w:hAnsi="Calibri" w:cs="Calibri"/>
        </w:rPr>
        <w:t xml:space="preserve"> fro</w:t>
      </w:r>
      <w:r w:rsidR="2E505CA0" w:rsidRPr="1AC1BD51">
        <w:rPr>
          <w:rFonts w:ascii="Calibri" w:eastAsia="Calibri" w:hAnsi="Calibri" w:cs="Calibri"/>
        </w:rPr>
        <w:t>m Italy and Mozambique</w:t>
      </w:r>
      <w:r w:rsidRPr="1AC1BD51">
        <w:rPr>
          <w:rFonts w:ascii="Calibri" w:eastAsia="Calibri" w:hAnsi="Calibri" w:cs="Calibri"/>
        </w:rPr>
        <w:t xml:space="preserve">. </w:t>
      </w:r>
    </w:p>
    <w:sectPr w:rsidR="54A15FA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5D93" w14:textId="77777777" w:rsidR="007560F6" w:rsidRDefault="007560F6" w:rsidP="00AA21F5">
      <w:pPr>
        <w:spacing w:after="0" w:line="240" w:lineRule="auto"/>
      </w:pPr>
      <w:r>
        <w:separator/>
      </w:r>
    </w:p>
  </w:endnote>
  <w:endnote w:type="continuationSeparator" w:id="0">
    <w:p w14:paraId="50D3F1BD" w14:textId="77777777" w:rsidR="007560F6" w:rsidRDefault="007560F6" w:rsidP="00AA2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3C46" w14:textId="77777777" w:rsidR="007560F6" w:rsidRDefault="007560F6" w:rsidP="00AA21F5">
      <w:pPr>
        <w:spacing w:after="0" w:line="240" w:lineRule="auto"/>
      </w:pPr>
      <w:r>
        <w:separator/>
      </w:r>
    </w:p>
  </w:footnote>
  <w:footnote w:type="continuationSeparator" w:id="0">
    <w:p w14:paraId="196356D5" w14:textId="77777777" w:rsidR="007560F6" w:rsidRDefault="007560F6" w:rsidP="00AA2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7E25" w14:textId="061D92E2" w:rsidR="00AA21F5" w:rsidRDefault="00AA21F5">
    <w:pPr>
      <w:pStyle w:val="Header"/>
    </w:pPr>
    <w:r>
      <w:rPr>
        <w:noProof/>
      </w:rPr>
      <w:drawing>
        <wp:anchor distT="0" distB="0" distL="114300" distR="114300" simplePos="0" relativeHeight="251659264" behindDoc="1" locked="0" layoutInCell="1" allowOverlap="1" wp14:anchorId="3798907D" wp14:editId="44ECD2D0">
          <wp:simplePos x="0" y="0"/>
          <wp:positionH relativeFrom="margin">
            <wp:align>left</wp:align>
          </wp:positionH>
          <wp:positionV relativeFrom="paragraph">
            <wp:posOffset>-209550</wp:posOffset>
          </wp:positionV>
          <wp:extent cx="1495673" cy="457011"/>
          <wp:effectExtent l="0" t="0" r="0" b="635"/>
          <wp:wrapNone/>
          <wp:docPr id="618783749" name="Picture 1" descr="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673" cy="45701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11B3"/>
    <w:multiLevelType w:val="hybridMultilevel"/>
    <w:tmpl w:val="D14E471C"/>
    <w:lvl w:ilvl="0" w:tplc="65305440">
      <w:start w:val="1"/>
      <w:numFmt w:val="bullet"/>
      <w:lvlText w:val=""/>
      <w:lvlJc w:val="left"/>
      <w:pPr>
        <w:ind w:left="720" w:hanging="360"/>
      </w:pPr>
      <w:rPr>
        <w:rFonts w:ascii="Symbol" w:hAnsi="Symbol" w:hint="default"/>
      </w:rPr>
    </w:lvl>
    <w:lvl w:ilvl="1" w:tplc="6EECECD2">
      <w:start w:val="1"/>
      <w:numFmt w:val="bullet"/>
      <w:lvlText w:val="o"/>
      <w:lvlJc w:val="left"/>
      <w:pPr>
        <w:ind w:left="1440" w:hanging="360"/>
      </w:pPr>
      <w:rPr>
        <w:rFonts w:ascii="Courier New" w:hAnsi="Courier New" w:hint="default"/>
      </w:rPr>
    </w:lvl>
    <w:lvl w:ilvl="2" w:tplc="F02A071E">
      <w:start w:val="1"/>
      <w:numFmt w:val="bullet"/>
      <w:lvlText w:val=""/>
      <w:lvlJc w:val="left"/>
      <w:pPr>
        <w:ind w:left="2160" w:hanging="360"/>
      </w:pPr>
      <w:rPr>
        <w:rFonts w:ascii="Wingdings" w:hAnsi="Wingdings" w:hint="default"/>
      </w:rPr>
    </w:lvl>
    <w:lvl w:ilvl="3" w:tplc="63C290C0">
      <w:start w:val="1"/>
      <w:numFmt w:val="bullet"/>
      <w:lvlText w:val=""/>
      <w:lvlJc w:val="left"/>
      <w:pPr>
        <w:ind w:left="2880" w:hanging="360"/>
      </w:pPr>
      <w:rPr>
        <w:rFonts w:ascii="Symbol" w:hAnsi="Symbol" w:hint="default"/>
      </w:rPr>
    </w:lvl>
    <w:lvl w:ilvl="4" w:tplc="916072AA">
      <w:start w:val="1"/>
      <w:numFmt w:val="bullet"/>
      <w:lvlText w:val="o"/>
      <w:lvlJc w:val="left"/>
      <w:pPr>
        <w:ind w:left="3600" w:hanging="360"/>
      </w:pPr>
      <w:rPr>
        <w:rFonts w:ascii="Courier New" w:hAnsi="Courier New" w:hint="default"/>
      </w:rPr>
    </w:lvl>
    <w:lvl w:ilvl="5" w:tplc="517ED4E4">
      <w:start w:val="1"/>
      <w:numFmt w:val="bullet"/>
      <w:lvlText w:val=""/>
      <w:lvlJc w:val="left"/>
      <w:pPr>
        <w:ind w:left="4320" w:hanging="360"/>
      </w:pPr>
      <w:rPr>
        <w:rFonts w:ascii="Wingdings" w:hAnsi="Wingdings" w:hint="default"/>
      </w:rPr>
    </w:lvl>
    <w:lvl w:ilvl="6" w:tplc="D8026E48">
      <w:start w:val="1"/>
      <w:numFmt w:val="bullet"/>
      <w:lvlText w:val=""/>
      <w:lvlJc w:val="left"/>
      <w:pPr>
        <w:ind w:left="5040" w:hanging="360"/>
      </w:pPr>
      <w:rPr>
        <w:rFonts w:ascii="Symbol" w:hAnsi="Symbol" w:hint="default"/>
      </w:rPr>
    </w:lvl>
    <w:lvl w:ilvl="7" w:tplc="5E2E5ED4">
      <w:start w:val="1"/>
      <w:numFmt w:val="bullet"/>
      <w:lvlText w:val="o"/>
      <w:lvlJc w:val="left"/>
      <w:pPr>
        <w:ind w:left="5760" w:hanging="360"/>
      </w:pPr>
      <w:rPr>
        <w:rFonts w:ascii="Courier New" w:hAnsi="Courier New" w:hint="default"/>
      </w:rPr>
    </w:lvl>
    <w:lvl w:ilvl="8" w:tplc="5A7EFD82">
      <w:start w:val="1"/>
      <w:numFmt w:val="bullet"/>
      <w:lvlText w:val=""/>
      <w:lvlJc w:val="left"/>
      <w:pPr>
        <w:ind w:left="6480" w:hanging="360"/>
      </w:pPr>
      <w:rPr>
        <w:rFonts w:ascii="Wingdings" w:hAnsi="Wingdings" w:hint="default"/>
      </w:rPr>
    </w:lvl>
  </w:abstractNum>
  <w:abstractNum w:abstractNumId="1" w15:restartNumberingAfterBreak="0">
    <w:nsid w:val="02B7683D"/>
    <w:multiLevelType w:val="hybridMultilevel"/>
    <w:tmpl w:val="4E94F826"/>
    <w:lvl w:ilvl="0" w:tplc="5232D4B8">
      <w:start w:val="1"/>
      <w:numFmt w:val="bullet"/>
      <w:lvlText w:val=""/>
      <w:lvlJc w:val="left"/>
      <w:pPr>
        <w:ind w:left="720" w:hanging="360"/>
      </w:pPr>
      <w:rPr>
        <w:rFonts w:ascii="Symbol" w:hAnsi="Symbol" w:hint="default"/>
      </w:rPr>
    </w:lvl>
    <w:lvl w:ilvl="1" w:tplc="3730A468">
      <w:start w:val="1"/>
      <w:numFmt w:val="bullet"/>
      <w:lvlText w:val="o"/>
      <w:lvlJc w:val="left"/>
      <w:pPr>
        <w:ind w:left="1440" w:hanging="360"/>
      </w:pPr>
      <w:rPr>
        <w:rFonts w:ascii="Courier New" w:hAnsi="Courier New" w:hint="default"/>
      </w:rPr>
    </w:lvl>
    <w:lvl w:ilvl="2" w:tplc="CECAC4A8">
      <w:start w:val="1"/>
      <w:numFmt w:val="bullet"/>
      <w:lvlText w:val=""/>
      <w:lvlJc w:val="left"/>
      <w:pPr>
        <w:ind w:left="2160" w:hanging="360"/>
      </w:pPr>
      <w:rPr>
        <w:rFonts w:ascii="Wingdings" w:hAnsi="Wingdings" w:hint="default"/>
      </w:rPr>
    </w:lvl>
    <w:lvl w:ilvl="3" w:tplc="170EB2CA">
      <w:start w:val="1"/>
      <w:numFmt w:val="bullet"/>
      <w:lvlText w:val=""/>
      <w:lvlJc w:val="left"/>
      <w:pPr>
        <w:ind w:left="2880" w:hanging="360"/>
      </w:pPr>
      <w:rPr>
        <w:rFonts w:ascii="Symbol" w:hAnsi="Symbol" w:hint="default"/>
      </w:rPr>
    </w:lvl>
    <w:lvl w:ilvl="4" w:tplc="9FFE6C0A">
      <w:start w:val="1"/>
      <w:numFmt w:val="bullet"/>
      <w:lvlText w:val="o"/>
      <w:lvlJc w:val="left"/>
      <w:pPr>
        <w:ind w:left="3600" w:hanging="360"/>
      </w:pPr>
      <w:rPr>
        <w:rFonts w:ascii="Courier New" w:hAnsi="Courier New" w:hint="default"/>
      </w:rPr>
    </w:lvl>
    <w:lvl w:ilvl="5" w:tplc="132AA31E">
      <w:start w:val="1"/>
      <w:numFmt w:val="bullet"/>
      <w:lvlText w:val=""/>
      <w:lvlJc w:val="left"/>
      <w:pPr>
        <w:ind w:left="4320" w:hanging="360"/>
      </w:pPr>
      <w:rPr>
        <w:rFonts w:ascii="Wingdings" w:hAnsi="Wingdings" w:hint="default"/>
      </w:rPr>
    </w:lvl>
    <w:lvl w:ilvl="6" w:tplc="2FAA198A">
      <w:start w:val="1"/>
      <w:numFmt w:val="bullet"/>
      <w:lvlText w:val=""/>
      <w:lvlJc w:val="left"/>
      <w:pPr>
        <w:ind w:left="5040" w:hanging="360"/>
      </w:pPr>
      <w:rPr>
        <w:rFonts w:ascii="Symbol" w:hAnsi="Symbol" w:hint="default"/>
      </w:rPr>
    </w:lvl>
    <w:lvl w:ilvl="7" w:tplc="2E5CDBDA">
      <w:start w:val="1"/>
      <w:numFmt w:val="bullet"/>
      <w:lvlText w:val="o"/>
      <w:lvlJc w:val="left"/>
      <w:pPr>
        <w:ind w:left="5760" w:hanging="360"/>
      </w:pPr>
      <w:rPr>
        <w:rFonts w:ascii="Courier New" w:hAnsi="Courier New" w:hint="default"/>
      </w:rPr>
    </w:lvl>
    <w:lvl w:ilvl="8" w:tplc="EB9A376E">
      <w:start w:val="1"/>
      <w:numFmt w:val="bullet"/>
      <w:lvlText w:val=""/>
      <w:lvlJc w:val="left"/>
      <w:pPr>
        <w:ind w:left="6480" w:hanging="360"/>
      </w:pPr>
      <w:rPr>
        <w:rFonts w:ascii="Wingdings" w:hAnsi="Wingdings" w:hint="default"/>
      </w:rPr>
    </w:lvl>
  </w:abstractNum>
  <w:abstractNum w:abstractNumId="2" w15:restartNumberingAfterBreak="0">
    <w:nsid w:val="4D678333"/>
    <w:multiLevelType w:val="hybridMultilevel"/>
    <w:tmpl w:val="85405230"/>
    <w:lvl w:ilvl="0" w:tplc="4B02F672">
      <w:start w:val="1"/>
      <w:numFmt w:val="bullet"/>
      <w:lvlText w:val=""/>
      <w:lvlJc w:val="left"/>
      <w:pPr>
        <w:ind w:left="720" w:hanging="360"/>
      </w:pPr>
      <w:rPr>
        <w:rFonts w:ascii="Symbol" w:hAnsi="Symbol" w:hint="default"/>
      </w:rPr>
    </w:lvl>
    <w:lvl w:ilvl="1" w:tplc="178E2056">
      <w:start w:val="1"/>
      <w:numFmt w:val="bullet"/>
      <w:lvlText w:val="o"/>
      <w:lvlJc w:val="left"/>
      <w:pPr>
        <w:ind w:left="1440" w:hanging="360"/>
      </w:pPr>
      <w:rPr>
        <w:rFonts w:ascii="Courier New" w:hAnsi="Courier New" w:hint="default"/>
      </w:rPr>
    </w:lvl>
    <w:lvl w:ilvl="2" w:tplc="FB1CE650">
      <w:start w:val="1"/>
      <w:numFmt w:val="bullet"/>
      <w:lvlText w:val=""/>
      <w:lvlJc w:val="left"/>
      <w:pPr>
        <w:ind w:left="2160" w:hanging="360"/>
      </w:pPr>
      <w:rPr>
        <w:rFonts w:ascii="Wingdings" w:hAnsi="Wingdings" w:hint="default"/>
      </w:rPr>
    </w:lvl>
    <w:lvl w:ilvl="3" w:tplc="1046B860">
      <w:start w:val="1"/>
      <w:numFmt w:val="bullet"/>
      <w:lvlText w:val=""/>
      <w:lvlJc w:val="left"/>
      <w:pPr>
        <w:ind w:left="2880" w:hanging="360"/>
      </w:pPr>
      <w:rPr>
        <w:rFonts w:ascii="Symbol" w:hAnsi="Symbol" w:hint="default"/>
      </w:rPr>
    </w:lvl>
    <w:lvl w:ilvl="4" w:tplc="D08AED7E">
      <w:start w:val="1"/>
      <w:numFmt w:val="bullet"/>
      <w:lvlText w:val="o"/>
      <w:lvlJc w:val="left"/>
      <w:pPr>
        <w:ind w:left="3600" w:hanging="360"/>
      </w:pPr>
      <w:rPr>
        <w:rFonts w:ascii="Courier New" w:hAnsi="Courier New" w:hint="default"/>
      </w:rPr>
    </w:lvl>
    <w:lvl w:ilvl="5" w:tplc="C18002F4">
      <w:start w:val="1"/>
      <w:numFmt w:val="bullet"/>
      <w:lvlText w:val=""/>
      <w:lvlJc w:val="left"/>
      <w:pPr>
        <w:ind w:left="4320" w:hanging="360"/>
      </w:pPr>
      <w:rPr>
        <w:rFonts w:ascii="Wingdings" w:hAnsi="Wingdings" w:hint="default"/>
      </w:rPr>
    </w:lvl>
    <w:lvl w:ilvl="6" w:tplc="9056B2CC">
      <w:start w:val="1"/>
      <w:numFmt w:val="bullet"/>
      <w:lvlText w:val=""/>
      <w:lvlJc w:val="left"/>
      <w:pPr>
        <w:ind w:left="5040" w:hanging="360"/>
      </w:pPr>
      <w:rPr>
        <w:rFonts w:ascii="Symbol" w:hAnsi="Symbol" w:hint="default"/>
      </w:rPr>
    </w:lvl>
    <w:lvl w:ilvl="7" w:tplc="E530E642">
      <w:start w:val="1"/>
      <w:numFmt w:val="bullet"/>
      <w:lvlText w:val="o"/>
      <w:lvlJc w:val="left"/>
      <w:pPr>
        <w:ind w:left="5760" w:hanging="360"/>
      </w:pPr>
      <w:rPr>
        <w:rFonts w:ascii="Courier New" w:hAnsi="Courier New" w:hint="default"/>
      </w:rPr>
    </w:lvl>
    <w:lvl w:ilvl="8" w:tplc="260026EA">
      <w:start w:val="1"/>
      <w:numFmt w:val="bullet"/>
      <w:lvlText w:val=""/>
      <w:lvlJc w:val="left"/>
      <w:pPr>
        <w:ind w:left="6480" w:hanging="360"/>
      </w:pPr>
      <w:rPr>
        <w:rFonts w:ascii="Wingdings" w:hAnsi="Wingdings" w:hint="default"/>
      </w:rPr>
    </w:lvl>
  </w:abstractNum>
  <w:abstractNum w:abstractNumId="3" w15:restartNumberingAfterBreak="0">
    <w:nsid w:val="68AB7056"/>
    <w:multiLevelType w:val="hybridMultilevel"/>
    <w:tmpl w:val="399EC4BE"/>
    <w:lvl w:ilvl="0" w:tplc="2F22A202">
      <w:start w:val="1"/>
      <w:numFmt w:val="bullet"/>
      <w:lvlText w:val=""/>
      <w:lvlJc w:val="left"/>
      <w:pPr>
        <w:ind w:left="720" w:hanging="360"/>
      </w:pPr>
      <w:rPr>
        <w:rFonts w:ascii="Symbol" w:hAnsi="Symbol" w:hint="default"/>
      </w:rPr>
    </w:lvl>
    <w:lvl w:ilvl="1" w:tplc="9C480EEC">
      <w:start w:val="1"/>
      <w:numFmt w:val="bullet"/>
      <w:lvlText w:val="o"/>
      <w:lvlJc w:val="left"/>
      <w:pPr>
        <w:ind w:left="1440" w:hanging="360"/>
      </w:pPr>
      <w:rPr>
        <w:rFonts w:ascii="Courier New" w:hAnsi="Courier New" w:hint="default"/>
      </w:rPr>
    </w:lvl>
    <w:lvl w:ilvl="2" w:tplc="CEFE63E2">
      <w:start w:val="1"/>
      <w:numFmt w:val="bullet"/>
      <w:lvlText w:val=""/>
      <w:lvlJc w:val="left"/>
      <w:pPr>
        <w:ind w:left="2160" w:hanging="360"/>
      </w:pPr>
      <w:rPr>
        <w:rFonts w:ascii="Wingdings" w:hAnsi="Wingdings" w:hint="default"/>
      </w:rPr>
    </w:lvl>
    <w:lvl w:ilvl="3" w:tplc="350C9AA2">
      <w:start w:val="1"/>
      <w:numFmt w:val="bullet"/>
      <w:lvlText w:val=""/>
      <w:lvlJc w:val="left"/>
      <w:pPr>
        <w:ind w:left="2880" w:hanging="360"/>
      </w:pPr>
      <w:rPr>
        <w:rFonts w:ascii="Symbol" w:hAnsi="Symbol" w:hint="default"/>
      </w:rPr>
    </w:lvl>
    <w:lvl w:ilvl="4" w:tplc="D63402D8">
      <w:start w:val="1"/>
      <w:numFmt w:val="bullet"/>
      <w:lvlText w:val="o"/>
      <w:lvlJc w:val="left"/>
      <w:pPr>
        <w:ind w:left="3600" w:hanging="360"/>
      </w:pPr>
      <w:rPr>
        <w:rFonts w:ascii="Courier New" w:hAnsi="Courier New" w:hint="default"/>
      </w:rPr>
    </w:lvl>
    <w:lvl w:ilvl="5" w:tplc="5E7AF00E">
      <w:start w:val="1"/>
      <w:numFmt w:val="bullet"/>
      <w:lvlText w:val=""/>
      <w:lvlJc w:val="left"/>
      <w:pPr>
        <w:ind w:left="4320" w:hanging="360"/>
      </w:pPr>
      <w:rPr>
        <w:rFonts w:ascii="Wingdings" w:hAnsi="Wingdings" w:hint="default"/>
      </w:rPr>
    </w:lvl>
    <w:lvl w:ilvl="6" w:tplc="E1C261FE">
      <w:start w:val="1"/>
      <w:numFmt w:val="bullet"/>
      <w:lvlText w:val=""/>
      <w:lvlJc w:val="left"/>
      <w:pPr>
        <w:ind w:left="5040" w:hanging="360"/>
      </w:pPr>
      <w:rPr>
        <w:rFonts w:ascii="Symbol" w:hAnsi="Symbol" w:hint="default"/>
      </w:rPr>
    </w:lvl>
    <w:lvl w:ilvl="7" w:tplc="E0800EFC">
      <w:start w:val="1"/>
      <w:numFmt w:val="bullet"/>
      <w:lvlText w:val="o"/>
      <w:lvlJc w:val="left"/>
      <w:pPr>
        <w:ind w:left="5760" w:hanging="360"/>
      </w:pPr>
      <w:rPr>
        <w:rFonts w:ascii="Courier New" w:hAnsi="Courier New" w:hint="default"/>
      </w:rPr>
    </w:lvl>
    <w:lvl w:ilvl="8" w:tplc="4EF8D1F6">
      <w:start w:val="1"/>
      <w:numFmt w:val="bullet"/>
      <w:lvlText w:val=""/>
      <w:lvlJc w:val="left"/>
      <w:pPr>
        <w:ind w:left="6480" w:hanging="360"/>
      </w:pPr>
      <w:rPr>
        <w:rFonts w:ascii="Wingdings" w:hAnsi="Wingdings" w:hint="default"/>
      </w:rPr>
    </w:lvl>
  </w:abstractNum>
  <w:num w:numId="1" w16cid:durableId="720636157">
    <w:abstractNumId w:val="3"/>
  </w:num>
  <w:num w:numId="2" w16cid:durableId="1953589895">
    <w:abstractNumId w:val="2"/>
  </w:num>
  <w:num w:numId="3" w16cid:durableId="706612128">
    <w:abstractNumId w:val="1"/>
  </w:num>
  <w:num w:numId="4" w16cid:durableId="54467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BBF27C"/>
    <w:rsid w:val="001A150D"/>
    <w:rsid w:val="001E27D1"/>
    <w:rsid w:val="00271FF7"/>
    <w:rsid w:val="007560F6"/>
    <w:rsid w:val="008744AB"/>
    <w:rsid w:val="00AA21F5"/>
    <w:rsid w:val="00D80EED"/>
    <w:rsid w:val="00F644DB"/>
    <w:rsid w:val="02FD2015"/>
    <w:rsid w:val="04E2C08E"/>
    <w:rsid w:val="0794FA77"/>
    <w:rsid w:val="07DC57B9"/>
    <w:rsid w:val="0B1FF4F7"/>
    <w:rsid w:val="0B721E2F"/>
    <w:rsid w:val="0C427E04"/>
    <w:rsid w:val="105F31C6"/>
    <w:rsid w:val="109ED7AB"/>
    <w:rsid w:val="184B7BE9"/>
    <w:rsid w:val="1AC1BD51"/>
    <w:rsid w:val="1ECD68ED"/>
    <w:rsid w:val="272090DC"/>
    <w:rsid w:val="2937BFB9"/>
    <w:rsid w:val="2B224747"/>
    <w:rsid w:val="2E505CA0"/>
    <w:rsid w:val="30F4AD90"/>
    <w:rsid w:val="32F8BE1E"/>
    <w:rsid w:val="362AFA4F"/>
    <w:rsid w:val="386538AE"/>
    <w:rsid w:val="4256130E"/>
    <w:rsid w:val="44CF93F5"/>
    <w:rsid w:val="4AADCDFE"/>
    <w:rsid w:val="4F22F7A1"/>
    <w:rsid w:val="5412A930"/>
    <w:rsid w:val="54A15FAE"/>
    <w:rsid w:val="54C0AF3F"/>
    <w:rsid w:val="569E1808"/>
    <w:rsid w:val="57358E09"/>
    <w:rsid w:val="57E0614F"/>
    <w:rsid w:val="5C02E8A3"/>
    <w:rsid w:val="5E2DD50B"/>
    <w:rsid w:val="62BBF27C"/>
    <w:rsid w:val="664ECDA0"/>
    <w:rsid w:val="6C3F1F3C"/>
    <w:rsid w:val="6D7E438C"/>
    <w:rsid w:val="7047BB3C"/>
    <w:rsid w:val="728FBF7E"/>
    <w:rsid w:val="75841857"/>
    <w:rsid w:val="7B904D02"/>
    <w:rsid w:val="7BECE57B"/>
    <w:rsid w:val="7C926B4B"/>
    <w:rsid w:val="7CAAB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F27C"/>
  <w15:chartTrackingRefBased/>
  <w15:docId w15:val="{59A5326F-0090-4EBF-AA18-220BD993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4CF93F5"/>
    <w:rPr>
      <w:color w:val="467886"/>
      <w:u w:val="single"/>
    </w:rPr>
  </w:style>
  <w:style w:type="paragraph" w:styleId="ListParagraph">
    <w:name w:val="List Paragraph"/>
    <w:basedOn w:val="Normal"/>
    <w:uiPriority w:val="34"/>
    <w:qFormat/>
    <w:rsid w:val="44CF93F5"/>
    <w:pPr>
      <w:ind w:left="720"/>
      <w:contextualSpacing/>
    </w:pPr>
  </w:style>
  <w:style w:type="paragraph" w:styleId="NormalWeb">
    <w:name w:val="Normal (Web)"/>
    <w:basedOn w:val="Normal"/>
    <w:uiPriority w:val="99"/>
    <w:semiHidden/>
    <w:unhideWhenUsed/>
    <w:rsid w:val="001A150D"/>
    <w:rPr>
      <w:rFonts w:ascii="Times New Roman" w:hAnsi="Times New Roman" w:cs="Times New Roman"/>
    </w:rPr>
  </w:style>
  <w:style w:type="character" w:styleId="UnresolvedMention">
    <w:name w:val="Unresolved Mention"/>
    <w:basedOn w:val="DefaultParagraphFont"/>
    <w:uiPriority w:val="99"/>
    <w:semiHidden/>
    <w:unhideWhenUsed/>
    <w:rsid w:val="00AA21F5"/>
    <w:rPr>
      <w:color w:val="605E5C"/>
      <w:shd w:val="clear" w:color="auto" w:fill="E1DFDD"/>
    </w:rPr>
  </w:style>
  <w:style w:type="paragraph" w:styleId="Header">
    <w:name w:val="header"/>
    <w:basedOn w:val="Normal"/>
    <w:link w:val="HeaderChar"/>
    <w:uiPriority w:val="99"/>
    <w:unhideWhenUsed/>
    <w:rsid w:val="00AA2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1F5"/>
  </w:style>
  <w:style w:type="paragraph" w:styleId="Footer">
    <w:name w:val="footer"/>
    <w:basedOn w:val="Normal"/>
    <w:link w:val="FooterChar"/>
    <w:uiPriority w:val="99"/>
    <w:unhideWhenUsed/>
    <w:rsid w:val="00AA2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20835">
      <w:bodyDiv w:val="1"/>
      <w:marLeft w:val="0"/>
      <w:marRight w:val="0"/>
      <w:marTop w:val="0"/>
      <w:marBottom w:val="0"/>
      <w:divBdr>
        <w:top w:val="none" w:sz="0" w:space="0" w:color="auto"/>
        <w:left w:val="none" w:sz="0" w:space="0" w:color="auto"/>
        <w:bottom w:val="none" w:sz="0" w:space="0" w:color="auto"/>
        <w:right w:val="none" w:sz="0" w:space="0" w:color="auto"/>
      </w:divBdr>
    </w:div>
    <w:div w:id="441462091">
      <w:bodyDiv w:val="1"/>
      <w:marLeft w:val="0"/>
      <w:marRight w:val="0"/>
      <w:marTop w:val="0"/>
      <w:marBottom w:val="0"/>
      <w:divBdr>
        <w:top w:val="none" w:sz="0" w:space="0" w:color="auto"/>
        <w:left w:val="none" w:sz="0" w:space="0" w:color="auto"/>
        <w:bottom w:val="none" w:sz="0" w:space="0" w:color="auto"/>
        <w:right w:val="none" w:sz="0" w:space="0" w:color="auto"/>
      </w:divBdr>
    </w:div>
    <w:div w:id="701713380">
      <w:bodyDiv w:val="1"/>
      <w:marLeft w:val="0"/>
      <w:marRight w:val="0"/>
      <w:marTop w:val="0"/>
      <w:marBottom w:val="0"/>
      <w:divBdr>
        <w:top w:val="none" w:sz="0" w:space="0" w:color="auto"/>
        <w:left w:val="none" w:sz="0" w:space="0" w:color="auto"/>
        <w:bottom w:val="none" w:sz="0" w:space="0" w:color="auto"/>
        <w:right w:val="none" w:sz="0" w:space="0" w:color="auto"/>
      </w:divBdr>
    </w:div>
    <w:div w:id="1495951359">
      <w:bodyDiv w:val="1"/>
      <w:marLeft w:val="0"/>
      <w:marRight w:val="0"/>
      <w:marTop w:val="0"/>
      <w:marBottom w:val="0"/>
      <w:divBdr>
        <w:top w:val="none" w:sz="0" w:space="0" w:color="auto"/>
        <w:left w:val="none" w:sz="0" w:space="0" w:color="auto"/>
        <w:bottom w:val="none" w:sz="0" w:space="0" w:color="auto"/>
        <w:right w:val="none" w:sz="0" w:space="0" w:color="auto"/>
      </w:divBdr>
    </w:div>
    <w:div w:id="1689719681">
      <w:bodyDiv w:val="1"/>
      <w:marLeft w:val="0"/>
      <w:marRight w:val="0"/>
      <w:marTop w:val="0"/>
      <w:marBottom w:val="0"/>
      <w:divBdr>
        <w:top w:val="none" w:sz="0" w:space="0" w:color="auto"/>
        <w:left w:val="none" w:sz="0" w:space="0" w:color="auto"/>
        <w:bottom w:val="none" w:sz="0" w:space="0" w:color="auto"/>
        <w:right w:val="none" w:sz="0" w:space="0" w:color="auto"/>
      </w:divBdr>
    </w:div>
    <w:div w:id="19318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ZQ5cPPdfyy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o.int/publications/i/item/978924008239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o.int/publications/i/item/9789240093928"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who.int/publications/i/item/978924005446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powerbi.com/groups/me/reports/474af16a-4051-454c-af59-5115cf8d39fb/ReportSection?ctid=f610c0b7-bd24-4b39-810b-3dc280afb590&amp;experience=power-bi&amp;bookmarkGuid=c43e3ea7-69c4-4dc4-b179-e5e61bf137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f970c6-f54b-48cc-9883-4beea043329b" xsi:nil="true"/>
    <lcf76f155ced4ddcb4097134ff3c332f xmlns="61c36e32-d281-4146-b42a-6f94c2eff651">
      <Terms xmlns="http://schemas.microsoft.com/office/infopath/2007/PartnerControls"/>
    </lcf76f155ced4ddcb4097134ff3c332f>
    <DateandTime xmlns="61c36e32-d281-4146-b42a-6f94c2eff6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6589C89AC6A34E8E7DA4D18A22C7B4" ma:contentTypeVersion="22" ma:contentTypeDescription="Create a new document." ma:contentTypeScope="" ma:versionID="aff3ed8b7d18ab47b0588ee4e27bb57c">
  <xsd:schema xmlns:xsd="http://www.w3.org/2001/XMLSchema" xmlns:xs="http://www.w3.org/2001/XMLSchema" xmlns:p="http://schemas.microsoft.com/office/2006/metadata/properties" xmlns:ns2="61c36e32-d281-4146-b42a-6f94c2eff651" xmlns:ns3="83f970c6-f54b-48cc-9883-4beea043329b" targetNamespace="http://schemas.microsoft.com/office/2006/metadata/properties" ma:root="true" ma:fieldsID="3d9a0d024f29031c6ba2db22a0785bbe" ns2:_="" ns3:_="">
    <xsd:import namespace="61c36e32-d281-4146-b42a-6f94c2eff651"/>
    <xsd:import namespace="83f970c6-f54b-48cc-9883-4beea04332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3:TaxCatchAll" minOccurs="0"/>
                <xsd:element ref="ns2:MediaServiceDateTaken" minOccurs="0"/>
                <xsd:element ref="ns2:lcf76f155ced4ddcb4097134ff3c332f"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36e32-d281-4146-b42a-6f94c2eff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3f970c6-f54b-48cc-9883-4beea04332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71a20e8-8c6a-42ff-b246-257b8cfbe45e}" ma:internalName="TaxCatchAll" ma:showField="CatchAllData" ma:web="83f970c6-f54b-48cc-9883-4beea0433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B747E-A037-435A-B8AF-34E92FDB11F2}">
  <ds:schemaRefs>
    <ds:schemaRef ds:uri="http://schemas.microsoft.com/sharepoint/v3/contenttype/forms"/>
  </ds:schemaRefs>
</ds:datastoreItem>
</file>

<file path=customXml/itemProps2.xml><?xml version="1.0" encoding="utf-8"?>
<ds:datastoreItem xmlns:ds="http://schemas.openxmlformats.org/officeDocument/2006/customXml" ds:itemID="{C5CCC349-8C19-4A90-A763-A2A49140DE65}">
  <ds:schemaRefs>
    <ds:schemaRef ds:uri="http://schemas.microsoft.com/office/2006/metadata/properties"/>
    <ds:schemaRef ds:uri="http://schemas.microsoft.com/office/infopath/2007/PartnerControls"/>
    <ds:schemaRef ds:uri="83f970c6-f54b-48cc-9883-4beea043329b"/>
    <ds:schemaRef ds:uri="61c36e32-d281-4146-b42a-6f94c2eff651"/>
  </ds:schemaRefs>
</ds:datastoreItem>
</file>

<file path=customXml/itemProps3.xml><?xml version="1.0" encoding="utf-8"?>
<ds:datastoreItem xmlns:ds="http://schemas.openxmlformats.org/officeDocument/2006/customXml" ds:itemID="{3A345118-A6AE-4891-8A2D-AADBAF27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36e32-d281-4146-b42a-6f94c2eff651"/>
    <ds:schemaRef ds:uri="83f970c6-f54b-48cc-9883-4beea0433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3004</Characters>
  <Application>Microsoft Office Word</Application>
  <DocSecurity>4</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MAROTTA, Claudia</dc:creator>
  <cp:keywords/>
  <dc:description/>
  <cp:lastModifiedBy>SEVERONI, Santino</cp:lastModifiedBy>
  <cp:revision>2</cp:revision>
  <dcterms:created xsi:type="dcterms:W3CDTF">2025-08-14T09:38:00Z</dcterms:created>
  <dcterms:modified xsi:type="dcterms:W3CDTF">2025-08-14T09:38:00Z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0x010100E96589C89AC6A34E8E7DA4D18A22C7B4</vt:lpwstr>
  </property>
  <property fmtid="{D5CDD505-2E9C-101B-9397-08002B2CF9AE}" pid="3" name="MediaServiceImageTags">
    <vt:lpwstr/>
  </property>
</Properties>
</file>